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00" w:lineRule="exact"/>
        <w:rPr>
          <w:rFonts w:hint="default" w:ascii="宋体" w:hAnsi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附件1：</w:t>
      </w:r>
    </w:p>
    <w:p>
      <w:pPr>
        <w:jc w:val="center"/>
        <w:rPr>
          <w:rFonts w:ascii="黑体" w:hAnsi="宋体" w:eastAsia="黑体"/>
          <w:b/>
          <w:color w:val="auto"/>
          <w:sz w:val="32"/>
          <w:szCs w:val="40"/>
        </w:rPr>
      </w:pPr>
      <w:r>
        <w:rPr>
          <w:rFonts w:hint="eastAsia" w:ascii="黑体" w:hAnsi="宋体" w:eastAsia="黑体"/>
          <w:b/>
          <w:color w:val="auto"/>
          <w:sz w:val="32"/>
          <w:szCs w:val="40"/>
        </w:rPr>
        <w:t>广东外语外贸大学南国商学院</w:t>
      </w:r>
    </w:p>
    <w:p>
      <w:pPr>
        <w:jc w:val="center"/>
        <w:rPr>
          <w:rFonts w:ascii="黑体" w:hAnsi="宋体" w:eastAsia="黑体"/>
          <w:b/>
          <w:color w:val="auto"/>
          <w:sz w:val="32"/>
          <w:szCs w:val="40"/>
        </w:rPr>
      </w:pPr>
      <w:bookmarkStart w:id="0" w:name="OLE_LINK1"/>
      <w:r>
        <w:rPr>
          <w:rFonts w:hint="eastAsia" w:ascii="黑体" w:hAnsi="宋体" w:eastAsia="黑体"/>
          <w:b/>
          <w:color w:val="auto"/>
          <w:sz w:val="32"/>
          <w:szCs w:val="40"/>
        </w:rPr>
        <w:t>2021级人才培养方案</w:t>
      </w:r>
      <w:bookmarkEnd w:id="0"/>
      <w:r>
        <w:rPr>
          <w:rFonts w:hint="eastAsia" w:ascii="黑体" w:hAnsi="宋体" w:eastAsia="黑体"/>
          <w:b/>
          <w:color w:val="auto"/>
          <w:sz w:val="32"/>
          <w:szCs w:val="40"/>
        </w:rPr>
        <w:t>制定的指导意见</w:t>
      </w:r>
    </w:p>
    <w:p>
      <w:pPr>
        <w:jc w:val="center"/>
        <w:rPr>
          <w:rFonts w:ascii="黑体" w:hAnsi="宋体" w:eastAsia="黑体"/>
          <w:b/>
          <w:color w:val="auto"/>
          <w:sz w:val="32"/>
          <w:szCs w:val="40"/>
        </w:rPr>
      </w:pPr>
    </w:p>
    <w:p>
      <w:pPr>
        <w:adjustRightInd w:val="0"/>
        <w:snapToGrid w:val="0"/>
        <w:spacing w:line="500" w:lineRule="exact"/>
        <w:ind w:firstLine="560" w:firstLineChars="200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</w:rPr>
        <w:t>为适应新时代国家经济社会发展对人才培养的需求，根据《教育部关于加快建设高水平本科教育 全面提高人才培养能力的意见》《教育部关于深化本科教育教学改革全面提高人才培养质量的意见》等文件的精神，结合《普通高等学校本科专业类教学质量国家标准》和新文科、新工科建设的要求，结合我校实际，按照“适时适当调整</w:t>
      </w:r>
      <w:r>
        <w:rPr>
          <w:rFonts w:ascii="宋体" w:hAnsi="宋体" w:cs="宋体"/>
          <w:color w:val="auto"/>
          <w:kern w:val="0"/>
          <w:sz w:val="28"/>
          <w:szCs w:val="28"/>
        </w:rPr>
        <w:t>”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的原则，对我校2021级人才培养方案的制定提出以下指导意见。</w:t>
      </w:r>
    </w:p>
    <w:p>
      <w:pPr>
        <w:snapToGrid w:val="0"/>
        <w:spacing w:line="500" w:lineRule="exact"/>
        <w:ind w:firstLine="562" w:firstLineChars="200"/>
        <w:rPr>
          <w:rFonts w:ascii="宋体" w:hAns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一、指导思想</w:t>
      </w:r>
    </w:p>
    <w:p>
      <w:pPr>
        <w:adjustRightInd w:val="0"/>
        <w:snapToGrid w:val="0"/>
        <w:spacing w:line="500" w:lineRule="exact"/>
        <w:ind w:firstLine="560" w:firstLineChars="200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</w:rPr>
        <w:t>坚持以习近平新时代中国特色社会主义思想为指导，遵循高等教育规律，秉承“关怀学生未来发展”的教育理念，落实立德树人根本，主动适应经济社会发展及行业产业对人才的需求，转变教育思想观念，整合课程设置，合理优化课程体系和教学内容，促进学生知识、能力、素质协调发展，培养适应广东区域经济发展需求的高素质应用型人才。</w:t>
      </w:r>
    </w:p>
    <w:p>
      <w:pPr>
        <w:adjustRightInd w:val="0"/>
        <w:snapToGrid w:val="0"/>
        <w:spacing w:line="500" w:lineRule="exact"/>
        <w:ind w:firstLine="562" w:firstLineChars="200"/>
        <w:rPr>
          <w:rFonts w:ascii="宋体" w:hAns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二、基本原则</w:t>
      </w:r>
    </w:p>
    <w:p>
      <w:pPr>
        <w:widowControl/>
        <w:spacing w:line="500" w:lineRule="exact"/>
        <w:ind w:firstLine="560" w:firstLineChars="200"/>
        <w:jc w:val="left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</w:rPr>
        <w:t>树立持续改进的质量观，根据《普通高等学校本科专业类教学质量国家标准》及专业建设发展实际情况，结合新时代行业发展对人才培养提出的新要求，2021级人才培养方案的制定以2020级人才培养方案为蓝本，对培养方案内容进行适当的优化调整，在适当压缩总学分的基础上进行课程设计和整合，推进学科交叉融合，将互联网、大数据、人工智能等信息技术植入课程体系，促进学生的全面发展、个性化发展和可持续发展，推动人才培养质量持续改进和提升。</w:t>
      </w:r>
    </w:p>
    <w:p>
      <w:pPr>
        <w:widowControl/>
        <w:spacing w:line="500" w:lineRule="exact"/>
        <w:ind w:firstLine="562" w:firstLineChars="200"/>
        <w:jc w:val="left"/>
        <w:rPr>
          <w:rFonts w:ascii="宋体" w:hAnsi="宋体" w:cs="宋体"/>
          <w:b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/>
          <w:color w:val="auto"/>
          <w:kern w:val="0"/>
          <w:sz w:val="28"/>
          <w:szCs w:val="28"/>
        </w:rPr>
        <w:t>三、修订调整的内容</w:t>
      </w:r>
    </w:p>
    <w:p>
      <w:pPr>
        <w:spacing w:line="500" w:lineRule="exact"/>
        <w:rPr>
          <w:rFonts w:ascii="宋体" w:hAnsi="宋体" w:cs="宋体"/>
          <w:bCs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bCs/>
          <w:color w:val="auto"/>
          <w:kern w:val="0"/>
          <w:sz w:val="28"/>
          <w:szCs w:val="28"/>
        </w:rPr>
        <w:t xml:space="preserve">   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（一）总学分安排</w:t>
      </w:r>
    </w:p>
    <w:p>
      <w:pPr>
        <w:spacing w:line="500" w:lineRule="exact"/>
        <w:ind w:firstLine="560" w:firstLineChars="200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</w:rPr>
        <w:t>对照《普通高等学校本科专业类教学质量国家标准》及《大学英语教学指南》（2020版）的要求，适当压缩总学分，调整大学英语学分，</w:t>
      </w:r>
      <w:r>
        <w:rPr>
          <w:rFonts w:ascii="宋体" w:hAnsi="宋体" w:cs="宋体"/>
          <w:color w:val="auto"/>
          <w:kern w:val="0"/>
          <w:sz w:val="28"/>
          <w:szCs w:val="28"/>
        </w:rPr>
        <w:t>增加学生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自主</w:t>
      </w:r>
      <w:r>
        <w:rPr>
          <w:rFonts w:ascii="宋体" w:hAnsi="宋体" w:cs="宋体"/>
          <w:color w:val="auto"/>
          <w:kern w:val="0"/>
          <w:sz w:val="28"/>
          <w:szCs w:val="28"/>
        </w:rPr>
        <w:t>学习的时间，提高自主学习时间比例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。结合各专业的特点，英语、商务英语、翻译专业总学分16</w:t>
      </w:r>
      <w:r>
        <w:rPr>
          <w:rFonts w:hint="eastAsia" w:ascii="宋体" w:hAnsi="宋体" w:cs="宋体"/>
          <w:color w:val="auto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；小语种专业总学分</w:t>
      </w:r>
      <w:r>
        <w:rPr>
          <w:rFonts w:ascii="宋体" w:hAnsi="宋体" w:cs="宋体"/>
          <w:color w:val="auto"/>
          <w:kern w:val="0"/>
          <w:sz w:val="28"/>
          <w:szCs w:val="28"/>
        </w:rPr>
        <w:t>172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学分；经济类、管理类、中文类、教育学类专业总学分1</w:t>
      </w:r>
      <w:r>
        <w:rPr>
          <w:rFonts w:ascii="宋体" w:hAnsi="宋体" w:cs="宋体"/>
          <w:color w:val="auto"/>
          <w:kern w:val="0"/>
          <w:sz w:val="28"/>
          <w:szCs w:val="28"/>
        </w:rPr>
        <w:t>54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-1</w:t>
      </w:r>
      <w:r>
        <w:rPr>
          <w:rFonts w:ascii="宋体" w:hAnsi="宋体" w:cs="宋体"/>
          <w:color w:val="auto"/>
          <w:kern w:val="0"/>
          <w:sz w:val="28"/>
          <w:szCs w:val="28"/>
        </w:rPr>
        <w:t>60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；计算机类专业总学分1</w:t>
      </w:r>
      <w:r>
        <w:rPr>
          <w:rFonts w:ascii="宋体" w:hAnsi="宋体" w:cs="宋体"/>
          <w:color w:val="auto"/>
          <w:kern w:val="0"/>
          <w:sz w:val="28"/>
          <w:szCs w:val="28"/>
        </w:rPr>
        <w:t>64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；双语教学班总学分1</w:t>
      </w:r>
      <w:r>
        <w:rPr>
          <w:rFonts w:ascii="宋体" w:hAnsi="宋体" w:cs="宋体"/>
          <w:color w:val="auto"/>
          <w:kern w:val="0"/>
          <w:sz w:val="28"/>
          <w:szCs w:val="28"/>
        </w:rPr>
        <w:t>70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；经管复合型创新班总学分1</w:t>
      </w:r>
      <w:r>
        <w:rPr>
          <w:rFonts w:ascii="宋体" w:hAnsi="宋体" w:cs="宋体"/>
          <w:color w:val="auto"/>
          <w:kern w:val="0"/>
          <w:sz w:val="28"/>
          <w:szCs w:val="28"/>
        </w:rPr>
        <w:t>60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；“2+2”、“3+1”中外学分互认项目班的总学分另行规定。原则上，选修课（含通识教育选修课和专业选修课）学分占总学分比例不低于30%；列入人才培养方案各实践环节的学分占总学分比例不低于30%。</w:t>
      </w:r>
    </w:p>
    <w:p>
      <w:pPr>
        <w:spacing w:line="500" w:lineRule="exact"/>
        <w:rPr>
          <w:rFonts w:ascii="宋体" w:hAnsi="宋体"/>
          <w:color w:val="auto"/>
          <w:kern w:val="0"/>
          <w:sz w:val="28"/>
          <w:szCs w:val="28"/>
        </w:rPr>
      </w:pPr>
      <w:r>
        <w:rPr>
          <w:rFonts w:hint="eastAsia" w:ascii="宋体" w:hAnsi="宋体"/>
          <w:color w:val="auto"/>
          <w:kern w:val="0"/>
          <w:sz w:val="28"/>
          <w:szCs w:val="28"/>
        </w:rPr>
        <w:t xml:space="preserve">   （二）课程体系结构、学分分配</w:t>
      </w:r>
    </w:p>
    <w:p>
      <w:pPr>
        <w:spacing w:line="560" w:lineRule="exact"/>
        <w:ind w:firstLine="555"/>
        <w:rPr>
          <w:rFonts w:ascii="宋体" w:hAnsi="宋体"/>
          <w:color w:val="auto"/>
          <w:kern w:val="0"/>
          <w:sz w:val="28"/>
          <w:szCs w:val="28"/>
        </w:rPr>
      </w:pPr>
      <w:r>
        <w:rPr>
          <w:rFonts w:hint="eastAsia" w:ascii="宋体" w:hAnsi="宋体"/>
          <w:color w:val="auto"/>
          <w:kern w:val="0"/>
          <w:sz w:val="28"/>
          <w:szCs w:val="28"/>
        </w:rPr>
        <w:t>课程体系结构延续原有的总框架，由通识课程、大学外语课程、专业课程、实践教学四大模块组成，课程体系结构及学分分配如下表所示：</w:t>
      </w:r>
    </w:p>
    <w:p>
      <w:pPr>
        <w:snapToGrid w:val="0"/>
        <w:spacing w:line="500" w:lineRule="exact"/>
        <w:jc w:val="center"/>
        <w:rPr>
          <w:rFonts w:ascii="宋体" w:hAnsi="宋体"/>
          <w:color w:val="auto"/>
          <w:sz w:val="24"/>
          <w:szCs w:val="28"/>
        </w:rPr>
      </w:pPr>
      <w:r>
        <w:rPr>
          <w:rFonts w:hint="eastAsia" w:ascii="宋体" w:hAnsi="宋体"/>
          <w:color w:val="auto"/>
          <w:sz w:val="24"/>
          <w:szCs w:val="28"/>
        </w:rPr>
        <w:t xml:space="preserve">表 </w:t>
      </w:r>
      <w:r>
        <w:rPr>
          <w:rFonts w:hint="eastAsia" w:ascii="宋体" w:hAnsi="宋体"/>
          <w:color w:val="auto"/>
          <w:kern w:val="0"/>
          <w:sz w:val="24"/>
          <w:szCs w:val="28"/>
        </w:rPr>
        <w:t>课程体系结构及学分分配</w:t>
      </w:r>
    </w:p>
    <w:tbl>
      <w:tblPr>
        <w:tblStyle w:val="4"/>
        <w:tblW w:w="95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2427"/>
        <w:gridCol w:w="1145"/>
        <w:gridCol w:w="3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exact"/>
          <w:jc w:val="center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</w:rPr>
              <w:t>课程类别</w:t>
            </w: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</w:rPr>
              <w:t>课程性质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</w:rPr>
              <w:t>学分</w:t>
            </w:r>
          </w:p>
        </w:tc>
        <w:tc>
          <w:tcPr>
            <w:tcW w:w="3908" w:type="dxa"/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color w:val="auto"/>
                <w:sz w:val="22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</w:rPr>
              <w:t>适用范围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207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通识课程</w:t>
            </w: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必修课程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29-41</w:t>
            </w:r>
          </w:p>
        </w:tc>
        <w:tc>
          <w:tcPr>
            <w:tcW w:w="3908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全校各专业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选修课程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12</w:t>
            </w:r>
          </w:p>
        </w:tc>
        <w:tc>
          <w:tcPr>
            <w:tcW w:w="3908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全校各专业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207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大学外语课程</w:t>
            </w: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必修课程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  <w:lang w:val="en-US" w:eastAsia="zh-CN"/>
              </w:rPr>
              <w:t>8/</w:t>
            </w:r>
            <w:r>
              <w:rPr>
                <w:rFonts w:hint="eastAsia" w:ascii="宋体" w:hAnsi="宋体"/>
                <w:color w:val="auto"/>
                <w:sz w:val="22"/>
              </w:rPr>
              <w:t>12</w:t>
            </w:r>
            <w:r>
              <w:rPr>
                <w:rFonts w:hint="eastAsia" w:ascii="宋体" w:hAnsi="宋体"/>
                <w:color w:val="auto"/>
                <w:sz w:val="22"/>
                <w:lang w:val="en-US" w:eastAsia="zh-CN"/>
              </w:rPr>
              <w:t>/</w:t>
            </w:r>
            <w:r>
              <w:rPr>
                <w:rFonts w:hint="eastAsia" w:ascii="宋体" w:hAnsi="宋体"/>
                <w:color w:val="auto"/>
                <w:sz w:val="22"/>
              </w:rPr>
              <w:t>22</w:t>
            </w:r>
          </w:p>
        </w:tc>
        <w:tc>
          <w:tcPr>
            <w:tcW w:w="39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全校各专业（除朝鲜语、泰语、学前教育专业）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选修课程</w:t>
            </w: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exact"/>
          <w:jc w:val="center"/>
        </w:trPr>
        <w:tc>
          <w:tcPr>
            <w:tcW w:w="207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专业课程</w:t>
            </w: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专业基础课程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70-116</w:t>
            </w:r>
          </w:p>
        </w:tc>
        <w:tc>
          <w:tcPr>
            <w:tcW w:w="39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全校各专业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2071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专业必修课程</w:t>
            </w: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专业选修课程</w:t>
            </w:r>
          </w:p>
        </w:tc>
        <w:tc>
          <w:tcPr>
            <w:tcW w:w="1145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  <w:jc w:val="center"/>
        </w:trPr>
        <w:tc>
          <w:tcPr>
            <w:tcW w:w="2071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pacing w:val="60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实践教学</w:t>
            </w: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军事技能（必修）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2</w:t>
            </w:r>
          </w:p>
        </w:tc>
        <w:tc>
          <w:tcPr>
            <w:tcW w:w="3908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全校各专业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社会实践（必修）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3</w:t>
            </w: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毕业实习（必修）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3</w:t>
            </w: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毕业论文（必修）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4</w:t>
            </w: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2071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  <w:tc>
          <w:tcPr>
            <w:tcW w:w="2427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专业实践与劳动（必修）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  <w:r>
              <w:rPr>
                <w:rFonts w:hint="eastAsia" w:ascii="宋体" w:hAnsi="宋体"/>
                <w:color w:val="auto"/>
                <w:sz w:val="22"/>
              </w:rPr>
              <w:t>3</w:t>
            </w:r>
          </w:p>
        </w:tc>
        <w:tc>
          <w:tcPr>
            <w:tcW w:w="3908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22"/>
              </w:rPr>
            </w:pPr>
          </w:p>
        </w:tc>
      </w:tr>
    </w:tbl>
    <w:p>
      <w:pPr>
        <w:spacing w:line="500" w:lineRule="exact"/>
        <w:ind w:firstLine="420" w:firstLineChars="150"/>
        <w:rPr>
          <w:rFonts w:ascii="宋体" w:hAnsi="宋体"/>
          <w:color w:val="auto"/>
          <w:kern w:val="0"/>
          <w:sz w:val="28"/>
          <w:szCs w:val="28"/>
        </w:rPr>
      </w:pPr>
      <w:r>
        <w:rPr>
          <w:rFonts w:hint="eastAsia" w:ascii="宋体" w:hAnsi="宋体"/>
          <w:color w:val="auto"/>
          <w:kern w:val="0"/>
          <w:sz w:val="28"/>
          <w:szCs w:val="28"/>
        </w:rPr>
        <w:t>（三）整合优化课程设置</w:t>
      </w:r>
    </w:p>
    <w:p>
      <w:pPr>
        <w:spacing w:line="500" w:lineRule="exact"/>
        <w:ind w:firstLine="560" w:firstLineChars="200"/>
        <w:rPr>
          <w:rFonts w:ascii="宋体" w:hAnsi="宋体" w:cs="黑体"/>
          <w:b/>
          <w:bCs/>
          <w:color w:val="auto"/>
          <w:sz w:val="28"/>
          <w:szCs w:val="28"/>
        </w:rPr>
      </w:pPr>
      <w:r>
        <w:rPr>
          <w:rFonts w:hint="eastAsia" w:ascii="宋体" w:hAnsi="宋体"/>
          <w:color w:val="auto"/>
          <w:kern w:val="0"/>
          <w:sz w:val="28"/>
          <w:szCs w:val="28"/>
        </w:rPr>
        <w:t>根据新时代提出的新要求，学校对通识课程、大学</w:t>
      </w:r>
      <w:r>
        <w:rPr>
          <w:rFonts w:hint="eastAsia" w:ascii="宋体" w:hAnsi="宋体"/>
          <w:color w:val="auto"/>
          <w:kern w:val="0"/>
          <w:sz w:val="28"/>
          <w:szCs w:val="28"/>
          <w:lang w:eastAsia="zh-CN"/>
        </w:rPr>
        <w:t>英语</w:t>
      </w:r>
      <w:r>
        <w:rPr>
          <w:rFonts w:hint="eastAsia" w:ascii="宋体" w:hAnsi="宋体"/>
          <w:color w:val="auto"/>
          <w:kern w:val="0"/>
          <w:sz w:val="28"/>
          <w:szCs w:val="28"/>
        </w:rPr>
        <w:t>课程、专业课程、实践环节等内容进行适当调整。</w:t>
      </w:r>
    </w:p>
    <w:p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1.通识课程</w:t>
      </w:r>
    </w:p>
    <w:p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通识课程包括通识必修课和通识选修课。</w:t>
      </w:r>
    </w:p>
    <w:p>
      <w:pPr>
        <w:spacing w:line="500" w:lineRule="exact"/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（1）通识必修课</w:t>
      </w:r>
    </w:p>
    <w:p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通识必修课包括思想政治类课程、大学语文、大学生心理健康教育、体育、大学计算机基础、数学类课程、创新创业教育课程、军事理论等。其中，非经济管理类专业的通识教育必修课《MBA基础》（2学分）调整为《</w:t>
      </w:r>
      <w:r>
        <w:rPr>
          <w:rFonts w:hint="eastAsia" w:ascii="宋体" w:hAnsi="宋体"/>
          <w:color w:val="auto"/>
          <w:sz w:val="28"/>
          <w:szCs w:val="28"/>
          <w:highlight w:val="none"/>
          <w:lang w:eastAsia="zh-CN"/>
        </w:rPr>
        <w:t>经济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管理基础</w:t>
      </w:r>
      <w:r>
        <w:rPr>
          <w:rFonts w:hint="eastAsia" w:ascii="宋体" w:hAnsi="宋体"/>
          <w:color w:val="auto"/>
          <w:sz w:val="28"/>
          <w:szCs w:val="28"/>
        </w:rPr>
        <w:t>》（2学分），由管理学院确定该课程开设的具体学期。结合不同专业学习要求的特点，通识必修课程学分为29-41。</w:t>
      </w:r>
    </w:p>
    <w:p>
      <w:pPr>
        <w:spacing w:line="500" w:lineRule="exact"/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（2）通识选修课</w:t>
      </w:r>
    </w:p>
    <w:p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通识选修课分社会科学、人文艺术、自然科学等三大模块，在注重培养学生人文精神和科学素质，注重培养学生思辨、批判和创新能力的基础上，注重</w:t>
      </w:r>
      <w:r>
        <w:rPr>
          <w:rFonts w:ascii="宋体" w:hAnsi="宋体"/>
          <w:color w:val="auto"/>
          <w:sz w:val="28"/>
          <w:szCs w:val="28"/>
        </w:rPr>
        <w:t>培养学生的跨</w:t>
      </w:r>
      <w:r>
        <w:rPr>
          <w:rFonts w:hint="eastAsia" w:ascii="宋体" w:hAnsi="宋体"/>
          <w:color w:val="auto"/>
          <w:sz w:val="28"/>
          <w:szCs w:val="28"/>
        </w:rPr>
        <w:t>学科专业交叉</w:t>
      </w:r>
      <w:r>
        <w:rPr>
          <w:rFonts w:ascii="宋体" w:hAnsi="宋体"/>
          <w:color w:val="auto"/>
          <w:sz w:val="28"/>
          <w:szCs w:val="28"/>
        </w:rPr>
        <w:t>知识融通能力</w:t>
      </w:r>
      <w:r>
        <w:rPr>
          <w:rFonts w:hint="eastAsia" w:ascii="宋体" w:hAnsi="宋体"/>
          <w:color w:val="auto"/>
          <w:sz w:val="28"/>
          <w:szCs w:val="28"/>
        </w:rPr>
        <w:t>，各专业适当开设跨学科、跨专业的通识选修课供学生选修。通识选修课共12学分，其中，学生选修人文艺术类通识选修课不少于2学分，社会科学类通识选修课不少于2学分，自然科学类通识选修课不少于2学分。</w:t>
      </w:r>
    </w:p>
    <w:p>
      <w:pPr>
        <w:spacing w:line="500" w:lineRule="exact"/>
        <w:ind w:firstLine="560" w:firstLineChars="20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2.大学英语课程</w:t>
      </w:r>
    </w:p>
    <w:p>
      <w:pPr>
        <w:spacing w:line="500" w:lineRule="exact"/>
        <w:ind w:firstLine="560"/>
        <w:rPr>
          <w:rFonts w:ascii="宋体" w:hAnsi="宋体" w:cs="仿宋"/>
          <w:color w:val="auto"/>
          <w:sz w:val="28"/>
          <w:szCs w:val="36"/>
        </w:rPr>
      </w:pPr>
      <w:r>
        <w:rPr>
          <w:rFonts w:hint="eastAsia" w:ascii="宋体" w:hAnsi="宋体" w:cs="仿宋"/>
          <w:color w:val="auto"/>
          <w:sz w:val="28"/>
          <w:szCs w:val="36"/>
        </w:rPr>
        <w:t>根据《大学英语教学指南（2020）》有关要求，我校大学英语课程体系包含通用英语、专门用途英语（学术英语和职业英语）和跨文化交际三个部分。结合我校实际情况，大学英语部开设通用英语课程和跨文化交际课程，共22学分，由大学英语教学部确定具体的课程、学期学分分配及课程开设的具体学期；非外语学院开设专门用途英语（学术英语或职业英语）课程4学分，纳入专业课程模块，由非外语学院确定具体的课程及课程开设的具体学期。</w:t>
      </w:r>
    </w:p>
    <w:p>
      <w:pPr>
        <w:spacing w:line="500" w:lineRule="exact"/>
        <w:ind w:firstLine="56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3.专业课程</w:t>
      </w:r>
    </w:p>
    <w:p>
      <w:pPr>
        <w:spacing w:line="500" w:lineRule="exact"/>
        <w:ind w:firstLine="560" w:firstLineChars="200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专业课程包括专业基础课程、专业必修课程及专业选修课程。</w:t>
      </w:r>
      <w:r>
        <w:rPr>
          <w:rFonts w:hint="eastAsia" w:ascii="宋体" w:hAnsi="宋体" w:cs="宋体"/>
          <w:color w:val="auto"/>
          <w:kern w:val="0"/>
          <w:sz w:val="28"/>
          <w:szCs w:val="28"/>
        </w:rPr>
        <w:t>专业基础课程应体现学科专业最基础、最核心的必修课。参照《普通高等学校本科专业类教学质量国家标准》的要求，在开齐专业核心课程基础上，适当增加一些适应新技术发展需要的课程，如大数据分析与应用、数据库应用、数据科学导论、Python语言、互联网金融、智能会计、大数据税务管理、智慧外贸等。各专业按照专业方向灵活设置专业选修课，专业选修课应具有一定的前瞻性和拓展性，充分体现专业特色。</w:t>
      </w:r>
    </w:p>
    <w:p>
      <w:pPr>
        <w:spacing w:line="500" w:lineRule="exact"/>
        <w:ind w:firstLine="560" w:firstLineChars="200"/>
        <w:rPr>
          <w:rFonts w:ascii="宋体" w:hAnsi="宋体" w:cs="宋体"/>
          <w:color w:val="auto"/>
          <w:kern w:val="0"/>
          <w:sz w:val="28"/>
          <w:szCs w:val="28"/>
        </w:rPr>
      </w:pPr>
      <w:r>
        <w:rPr>
          <w:rFonts w:hint="eastAsia" w:ascii="宋体" w:hAnsi="宋体" w:cs="宋体"/>
          <w:color w:val="auto"/>
          <w:kern w:val="0"/>
          <w:sz w:val="28"/>
          <w:szCs w:val="28"/>
        </w:rPr>
        <w:t>4.加强劳动教育</w:t>
      </w:r>
    </w:p>
    <w:p>
      <w:pPr>
        <w:spacing w:line="500" w:lineRule="exact"/>
        <w:ind w:firstLine="560" w:firstLineChars="200"/>
        <w:jc w:val="left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根据《教育部关于印发&lt;大中小学劳动教育指导纲要（试行）&gt;的通知》（教材〔2020〕4号）文件的精神，把劳动教育有机纳入专业教育、创新创业教育，将实践教学环节中“专业实践”（3-6学分）调整为“专业实践与劳</w:t>
      </w:r>
      <w:r>
        <w:rPr>
          <w:rFonts w:hint="eastAsia" w:ascii="宋体" w:hAnsi="宋体"/>
          <w:color w:val="auto"/>
          <w:sz w:val="28"/>
          <w:szCs w:val="28"/>
          <w:highlight w:val="none"/>
        </w:rPr>
        <w:t>动”（3学分）。“专业实践与劳动”，每学期安排0.5学分，由学院实施形</w:t>
      </w:r>
      <w:r>
        <w:rPr>
          <w:rFonts w:hint="eastAsia" w:ascii="宋体" w:hAnsi="宋体"/>
          <w:color w:val="auto"/>
          <w:sz w:val="28"/>
          <w:szCs w:val="28"/>
        </w:rPr>
        <w:t>式多样的专业实践与劳动活动，通过专业实践、社会实践、劳动技能和社会服务内容的有机结合，引导大学生形成正确的劳动价值观，培养勤俭、奋斗、创新、奉献的精神。</w:t>
      </w:r>
    </w:p>
    <w:p>
      <w:pPr>
        <w:spacing w:line="500" w:lineRule="exact"/>
        <w:ind w:firstLine="562" w:firstLineChars="200"/>
        <w:jc w:val="left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四、人才培养方案</w:t>
      </w:r>
      <w:r>
        <w:rPr>
          <w:rFonts w:ascii="宋体" w:hAnsi="宋体"/>
          <w:b/>
          <w:color w:val="auto"/>
          <w:sz w:val="28"/>
          <w:szCs w:val="28"/>
        </w:rPr>
        <w:t>框架结构</w:t>
      </w:r>
    </w:p>
    <w:p>
      <w:pPr>
        <w:spacing w:line="500" w:lineRule="exact"/>
        <w:ind w:firstLine="560" w:firstLineChars="200"/>
        <w:jc w:val="left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人才培养方案</w:t>
      </w:r>
      <w:r>
        <w:rPr>
          <w:rFonts w:ascii="宋体" w:hAnsi="宋体"/>
          <w:color w:val="auto"/>
          <w:sz w:val="28"/>
          <w:szCs w:val="28"/>
        </w:rPr>
        <w:t>框架结构</w:t>
      </w:r>
      <w:r>
        <w:rPr>
          <w:rFonts w:hint="eastAsia" w:ascii="宋体" w:hAnsi="宋体"/>
          <w:color w:val="auto"/>
          <w:sz w:val="28"/>
          <w:szCs w:val="28"/>
        </w:rPr>
        <w:t>具体包括：（一）</w:t>
      </w:r>
      <w:r>
        <w:rPr>
          <w:rFonts w:ascii="宋体" w:hAnsi="宋体"/>
          <w:color w:val="auto"/>
          <w:sz w:val="28"/>
          <w:szCs w:val="28"/>
        </w:rPr>
        <w:t>培养目标</w:t>
      </w:r>
      <w:r>
        <w:rPr>
          <w:rFonts w:hint="eastAsia" w:ascii="宋体" w:hAnsi="宋体"/>
          <w:color w:val="auto"/>
          <w:sz w:val="28"/>
          <w:szCs w:val="28"/>
        </w:rPr>
        <w:t>；（二）培养要求；（三）学制与修业年限；（四）学分与学时；（五）主干学科；（六）核心课程；（七）毕业要求与授予学位；（八）实践教学；（九）课程体系。</w:t>
      </w:r>
    </w:p>
    <w:p>
      <w:pPr>
        <w:widowControl/>
        <w:spacing w:line="500" w:lineRule="exact"/>
        <w:ind w:firstLine="562" w:firstLineChars="200"/>
        <w:rPr>
          <w:rFonts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auto"/>
          <w:sz w:val="28"/>
          <w:szCs w:val="28"/>
        </w:rPr>
        <w:t>五</w:t>
      </w:r>
      <w:r>
        <w:rPr>
          <w:rFonts w:ascii="宋体" w:hAnsi="宋体"/>
          <w:b/>
          <w:color w:val="auto"/>
          <w:sz w:val="28"/>
          <w:szCs w:val="28"/>
        </w:rPr>
        <w:t>、</w:t>
      </w:r>
      <w:r>
        <w:rPr>
          <w:rFonts w:hint="eastAsia" w:ascii="宋体" w:hAnsi="宋体"/>
          <w:b/>
          <w:color w:val="auto"/>
          <w:sz w:val="28"/>
          <w:szCs w:val="28"/>
        </w:rPr>
        <w:t>组织实施</w:t>
      </w:r>
    </w:p>
    <w:p>
      <w:pPr>
        <w:widowControl/>
        <w:spacing w:line="500" w:lineRule="exact"/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（一）</w:t>
      </w:r>
      <w:r>
        <w:rPr>
          <w:rFonts w:ascii="宋体" w:hAnsi="宋体"/>
          <w:color w:val="auto"/>
          <w:sz w:val="28"/>
          <w:szCs w:val="28"/>
        </w:rPr>
        <w:t>人才培养方案实行校、院两级管理模式。</w:t>
      </w:r>
      <w:r>
        <w:rPr>
          <w:rFonts w:hint="eastAsia" w:ascii="宋体" w:hAnsi="宋体"/>
          <w:color w:val="auto"/>
          <w:sz w:val="28"/>
          <w:szCs w:val="28"/>
        </w:rPr>
        <w:t>教务处负责全校人才培养方案修订的组织、协调和统筹工作，提出制定2021级人才培养方案的指导意见；各学院院长作为培养方案修订的第一责任人，全面负责本学院各专业人才培养方案的修订工作。学院成立院级人才培养方案修订领导小组，统一认识，集思广益，广泛调研，充分论证，主动加强与相关学院的沟通，组织高校、企业、用人单位等方面专家参与培养方案修订工作，确保培养方案的先进性和可行性。</w:t>
      </w:r>
    </w:p>
    <w:p>
      <w:pPr>
        <w:widowControl/>
        <w:spacing w:line="500" w:lineRule="exact"/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（二）各专业人才培养方案</w:t>
      </w:r>
      <w:r>
        <w:rPr>
          <w:rFonts w:ascii="宋体" w:hAnsi="宋体"/>
          <w:color w:val="auto"/>
          <w:sz w:val="28"/>
          <w:szCs w:val="28"/>
        </w:rPr>
        <w:t>制订完成后，由校</w:t>
      </w:r>
      <w:r>
        <w:rPr>
          <w:rFonts w:hint="eastAsia" w:ascii="宋体" w:hAnsi="宋体"/>
          <w:color w:val="auto"/>
          <w:sz w:val="28"/>
          <w:szCs w:val="28"/>
        </w:rPr>
        <w:t>教学指导委员会</w:t>
      </w:r>
      <w:r>
        <w:rPr>
          <w:rFonts w:ascii="宋体" w:hAnsi="宋体"/>
          <w:color w:val="auto"/>
          <w:sz w:val="28"/>
          <w:szCs w:val="28"/>
        </w:rPr>
        <w:t>审核、分管教学</w:t>
      </w:r>
      <w:r>
        <w:rPr>
          <w:rFonts w:hint="eastAsia" w:ascii="宋体" w:hAnsi="宋体"/>
          <w:color w:val="auto"/>
          <w:sz w:val="28"/>
          <w:szCs w:val="28"/>
        </w:rPr>
        <w:t>工作校</w:t>
      </w:r>
      <w:r>
        <w:rPr>
          <w:rFonts w:ascii="宋体" w:hAnsi="宋体"/>
          <w:color w:val="auto"/>
          <w:sz w:val="28"/>
          <w:szCs w:val="28"/>
        </w:rPr>
        <w:t>领导审批后，由各学院负责组织执行，教务</w:t>
      </w:r>
      <w:r>
        <w:rPr>
          <w:rFonts w:hint="eastAsia" w:ascii="宋体" w:hAnsi="宋体"/>
          <w:color w:val="auto"/>
          <w:sz w:val="28"/>
          <w:szCs w:val="28"/>
        </w:rPr>
        <w:t>处进行</w:t>
      </w:r>
      <w:r>
        <w:rPr>
          <w:rFonts w:ascii="宋体" w:hAnsi="宋体"/>
          <w:color w:val="auto"/>
          <w:sz w:val="28"/>
          <w:szCs w:val="28"/>
        </w:rPr>
        <w:t>监督和检查。</w:t>
      </w:r>
    </w:p>
    <w:p>
      <w:pPr>
        <w:widowControl/>
        <w:spacing w:line="500" w:lineRule="exact"/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（三）人才培养方案</w:t>
      </w:r>
      <w:r>
        <w:rPr>
          <w:rFonts w:ascii="宋体" w:hAnsi="宋体"/>
          <w:color w:val="auto"/>
          <w:sz w:val="28"/>
          <w:szCs w:val="28"/>
        </w:rPr>
        <w:t>一经确定，须严格执行，不得随意变更。如有特殊情况必须变更时，专业所在学院需提交</w:t>
      </w:r>
      <w:r>
        <w:rPr>
          <w:rFonts w:hint="eastAsia" w:ascii="宋体" w:hAnsi="宋体"/>
          <w:color w:val="auto"/>
          <w:sz w:val="28"/>
          <w:szCs w:val="28"/>
        </w:rPr>
        <w:t>培养</w:t>
      </w:r>
      <w:r>
        <w:rPr>
          <w:rFonts w:ascii="宋体" w:hAnsi="宋体"/>
          <w:color w:val="auto"/>
          <w:sz w:val="28"/>
          <w:szCs w:val="28"/>
        </w:rPr>
        <w:t>方案异动申请，经教务</w:t>
      </w:r>
      <w:r>
        <w:rPr>
          <w:rFonts w:hint="eastAsia" w:ascii="宋体" w:hAnsi="宋体"/>
          <w:color w:val="auto"/>
          <w:sz w:val="28"/>
          <w:szCs w:val="28"/>
        </w:rPr>
        <w:t>处</w:t>
      </w:r>
      <w:r>
        <w:rPr>
          <w:rFonts w:ascii="宋体" w:hAnsi="宋体"/>
          <w:color w:val="auto"/>
          <w:sz w:val="28"/>
          <w:szCs w:val="28"/>
        </w:rPr>
        <w:t>审核</w:t>
      </w:r>
      <w:r>
        <w:rPr>
          <w:rFonts w:hint="eastAsia" w:ascii="宋体" w:hAnsi="宋体"/>
          <w:color w:val="auto"/>
          <w:sz w:val="28"/>
          <w:szCs w:val="28"/>
        </w:rPr>
        <w:t>，报分管教学工作校</w:t>
      </w:r>
      <w:r>
        <w:rPr>
          <w:rFonts w:ascii="宋体" w:hAnsi="宋体"/>
          <w:color w:val="auto"/>
          <w:sz w:val="28"/>
          <w:szCs w:val="28"/>
        </w:rPr>
        <w:t>领导批准后方可执行。</w:t>
      </w:r>
    </w:p>
    <w:p>
      <w:pPr>
        <w:widowControl/>
        <w:spacing w:line="500" w:lineRule="exact"/>
        <w:ind w:firstLine="420" w:firstLineChars="1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（四）</w:t>
      </w:r>
      <w:r>
        <w:rPr>
          <w:rFonts w:ascii="宋体" w:hAnsi="宋体"/>
          <w:color w:val="auto"/>
          <w:sz w:val="28"/>
          <w:szCs w:val="28"/>
        </w:rPr>
        <w:t>本次</w:t>
      </w:r>
      <w:r>
        <w:rPr>
          <w:rFonts w:hint="eastAsia" w:ascii="宋体" w:hAnsi="宋体"/>
          <w:color w:val="auto"/>
          <w:sz w:val="28"/>
          <w:szCs w:val="28"/>
        </w:rPr>
        <w:t>制定</w:t>
      </w:r>
      <w:r>
        <w:rPr>
          <w:rFonts w:ascii="宋体" w:hAnsi="宋体"/>
          <w:color w:val="auto"/>
          <w:sz w:val="28"/>
          <w:szCs w:val="28"/>
        </w:rPr>
        <w:t>的</w:t>
      </w:r>
      <w:r>
        <w:rPr>
          <w:rFonts w:hint="eastAsia" w:ascii="宋体" w:hAnsi="宋体"/>
          <w:color w:val="auto"/>
          <w:sz w:val="28"/>
          <w:szCs w:val="28"/>
        </w:rPr>
        <w:t>人才培养方案</w:t>
      </w:r>
      <w:r>
        <w:rPr>
          <w:rFonts w:ascii="宋体" w:hAnsi="宋体"/>
          <w:color w:val="auto"/>
          <w:sz w:val="28"/>
          <w:szCs w:val="28"/>
        </w:rPr>
        <w:t>自20</w:t>
      </w:r>
      <w:r>
        <w:rPr>
          <w:rFonts w:hint="eastAsia" w:ascii="宋体" w:hAnsi="宋体"/>
          <w:color w:val="auto"/>
          <w:sz w:val="28"/>
          <w:szCs w:val="28"/>
        </w:rPr>
        <w:t>21</w:t>
      </w:r>
      <w:r>
        <w:rPr>
          <w:rFonts w:ascii="宋体" w:hAnsi="宋体"/>
          <w:color w:val="auto"/>
          <w:sz w:val="28"/>
          <w:szCs w:val="28"/>
        </w:rPr>
        <w:t>级</w:t>
      </w:r>
      <w:r>
        <w:rPr>
          <w:rFonts w:hint="eastAsia" w:ascii="宋体" w:hAnsi="宋体"/>
          <w:color w:val="auto"/>
          <w:sz w:val="28"/>
          <w:szCs w:val="28"/>
        </w:rPr>
        <w:t>学生</w:t>
      </w:r>
      <w:r>
        <w:rPr>
          <w:rFonts w:ascii="宋体" w:hAnsi="宋体"/>
          <w:color w:val="auto"/>
          <w:sz w:val="28"/>
          <w:szCs w:val="28"/>
        </w:rPr>
        <w:t>起执行</w:t>
      </w:r>
      <w:r>
        <w:rPr>
          <w:rFonts w:hint="eastAsia" w:ascii="宋体" w:hAnsi="宋体"/>
          <w:color w:val="auto"/>
          <w:sz w:val="28"/>
          <w:szCs w:val="28"/>
        </w:rPr>
        <w:t>。</w:t>
      </w:r>
    </w:p>
    <w:p>
      <w:pPr>
        <w:snapToGrid w:val="0"/>
        <w:spacing w:line="360" w:lineRule="auto"/>
        <w:ind w:firstLine="560" w:firstLineChars="200"/>
        <w:rPr>
          <w:rFonts w:ascii="宋体" w:hAnsi="宋体"/>
          <w:color w:val="auto"/>
          <w:sz w:val="28"/>
          <w:szCs w:val="28"/>
        </w:rPr>
      </w:pPr>
    </w:p>
    <w:p>
      <w:pPr>
        <w:snapToGrid w:val="0"/>
        <w:spacing w:line="360" w:lineRule="auto"/>
        <w:ind w:firstLine="3780" w:firstLineChars="1350"/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广东外语外贸大学南国商学院教务处</w:t>
      </w:r>
    </w:p>
    <w:p>
      <w:pPr>
        <w:snapToGrid w:val="0"/>
        <w:spacing w:line="360" w:lineRule="auto"/>
        <w:ind w:firstLine="5320" w:firstLineChars="1900"/>
        <w:rPr>
          <w:rFonts w:ascii="宋体" w:hAnsi="宋体"/>
          <w:color w:val="auto"/>
          <w:sz w:val="28"/>
          <w:szCs w:val="28"/>
        </w:rPr>
      </w:pPr>
      <w:bookmarkStart w:id="1" w:name="_GoBack"/>
      <w:bookmarkEnd w:id="1"/>
      <w:r>
        <w:rPr>
          <w:rFonts w:hint="eastAsia" w:ascii="宋体" w:hAnsi="宋体"/>
          <w:color w:val="auto"/>
          <w:sz w:val="28"/>
          <w:szCs w:val="28"/>
        </w:rPr>
        <w:t>2021年6月8日</w:t>
      </w:r>
    </w:p>
    <w:p>
      <w:pPr>
        <w:rPr>
          <w:color w:val="auto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11324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0CB9"/>
    <w:rsid w:val="00093F53"/>
    <w:rsid w:val="001E2F02"/>
    <w:rsid w:val="00227C5E"/>
    <w:rsid w:val="00247518"/>
    <w:rsid w:val="002709F1"/>
    <w:rsid w:val="00342A9C"/>
    <w:rsid w:val="00402643"/>
    <w:rsid w:val="00415EC1"/>
    <w:rsid w:val="00452A40"/>
    <w:rsid w:val="004D0BDD"/>
    <w:rsid w:val="00520E4A"/>
    <w:rsid w:val="005962A0"/>
    <w:rsid w:val="005F4B1B"/>
    <w:rsid w:val="0060519D"/>
    <w:rsid w:val="0062395A"/>
    <w:rsid w:val="00640A3B"/>
    <w:rsid w:val="006B3ED4"/>
    <w:rsid w:val="006E37D3"/>
    <w:rsid w:val="00747CB2"/>
    <w:rsid w:val="00784A36"/>
    <w:rsid w:val="00867C67"/>
    <w:rsid w:val="00956808"/>
    <w:rsid w:val="0099482D"/>
    <w:rsid w:val="009D00F9"/>
    <w:rsid w:val="009F0CB9"/>
    <w:rsid w:val="009F6B9C"/>
    <w:rsid w:val="00A52E31"/>
    <w:rsid w:val="00A7139A"/>
    <w:rsid w:val="00AE2EC2"/>
    <w:rsid w:val="00AF0252"/>
    <w:rsid w:val="00B02613"/>
    <w:rsid w:val="00B67ED1"/>
    <w:rsid w:val="00B931F1"/>
    <w:rsid w:val="00BB0DD0"/>
    <w:rsid w:val="00BB5188"/>
    <w:rsid w:val="00C32F53"/>
    <w:rsid w:val="00CC2196"/>
    <w:rsid w:val="00D65D61"/>
    <w:rsid w:val="00D776FF"/>
    <w:rsid w:val="00D84FA5"/>
    <w:rsid w:val="00E92796"/>
    <w:rsid w:val="00EA05AC"/>
    <w:rsid w:val="00EE4F38"/>
    <w:rsid w:val="00F34BE4"/>
    <w:rsid w:val="01370AB4"/>
    <w:rsid w:val="189C45E8"/>
    <w:rsid w:val="20277AAD"/>
    <w:rsid w:val="594C7E0F"/>
    <w:rsid w:val="68D1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5</Pages>
  <Words>444</Words>
  <Characters>2534</Characters>
  <Lines>21</Lines>
  <Paragraphs>5</Paragraphs>
  <TotalTime>190</TotalTime>
  <ScaleCrop>false</ScaleCrop>
  <LinksUpToDate>false</LinksUpToDate>
  <CharactersWithSpaces>2973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2021-05-17T08:13:00Z</dcterms:created>
  <dc:creator>Windows 用户</dc:creator>
  <cp:lastModifiedBy>Administrator</cp:lastModifiedBy>
  <cp:lastPrinted>2021-05-17T08:09:00Z</cp:lastPrinted>
  <dcterms:modified xsi:type="dcterms:W3CDTF">2021-06-09T01:53:41Z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